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25AC4" w14:textId="3EED4069" w:rsidR="00A916BA" w:rsidRDefault="00A916BA">
      <w:r>
        <w:t>MGNT 640 9081</w:t>
      </w:r>
    </w:p>
    <w:p w14:paraId="2ECCCEB8" w14:textId="77777777" w:rsidR="00A916BA" w:rsidRDefault="00A916BA"/>
    <w:p w14:paraId="1B213EE3" w14:textId="31F39044" w:rsidR="007615BF" w:rsidRDefault="00A916BA">
      <w:r>
        <w:t xml:space="preserve">Session 5 Risk &amp; Return </w:t>
      </w:r>
    </w:p>
    <w:p w14:paraId="017F5C14" w14:textId="3568B257" w:rsidR="00A916BA" w:rsidRDefault="00A916BA">
      <w:r>
        <w:t>Discussion topics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opic List for Forum Session 5 - Risk &amp; Return"/>
      </w:tblPr>
      <w:tblGrid>
        <w:gridCol w:w="9360"/>
      </w:tblGrid>
      <w:tr w:rsidR="00A916BA" w:rsidRPr="00A916BA" w14:paraId="62BEC3F4" w14:textId="77777777" w:rsidTr="00A916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B6ECD" w14:textId="77777777" w:rsidR="00A916BA" w:rsidRPr="00A916BA" w:rsidRDefault="00A916BA" w:rsidP="00A916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916BA">
              <w:rPr>
                <w:rFonts w:ascii="Times New Roman" w:eastAsia="Times New Roman" w:hAnsi="Times New Roman" w:cs="Times New Roman"/>
                <w:b/>
                <w:bCs/>
              </w:rPr>
              <w:t>. Explain the difference between required rate of return and expected rate of return. If they are different at a specific point in time, what does it mean? </w:t>
            </w:r>
          </w:p>
          <w:p w14:paraId="68868E01" w14:textId="77777777" w:rsidR="00A916BA" w:rsidRPr="00A916BA" w:rsidRDefault="00A916BA" w:rsidP="00A916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916BA">
              <w:rPr>
                <w:rFonts w:ascii="Times New Roman" w:eastAsia="Times New Roman" w:hAnsi="Times New Roman" w:cs="Times New Roman"/>
                <w:b/>
                <w:bCs/>
              </w:rPr>
              <w:t>2. What is the difference between an expected return and a total holding period return?</w:t>
            </w:r>
          </w:p>
          <w:p w14:paraId="0D02ACE9" w14:textId="77777777" w:rsidR="00A916BA" w:rsidRPr="00A916BA" w:rsidRDefault="00A916BA" w:rsidP="00A916B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916BA">
              <w:rPr>
                <w:rFonts w:ascii="Times New Roman" w:eastAsia="Times New Roman" w:hAnsi="Times New Roman" w:cs="Times New Roman"/>
                <w:b/>
                <w:bCs/>
              </w:rPr>
              <w:t xml:space="preserve">3. How does investing in more than one asset reduce risk through diversification? </w:t>
            </w:r>
          </w:p>
        </w:tc>
      </w:tr>
    </w:tbl>
    <w:p w14:paraId="0C8E89B4" w14:textId="022322C4" w:rsidR="00A916BA" w:rsidRDefault="00A916BA"/>
    <w:p w14:paraId="18F97C57" w14:textId="269AF2FB" w:rsidR="00A916BA" w:rsidRDefault="00A916BA">
      <w:r>
        <w:t>Reference</w:t>
      </w:r>
    </w:p>
    <w:p w14:paraId="21683DA9" w14:textId="371231E5" w:rsidR="00A916BA" w:rsidRDefault="00A916BA"/>
    <w:p w14:paraId="213EE3D8" w14:textId="77777777" w:rsidR="00A916BA" w:rsidRPr="00A916BA" w:rsidRDefault="00A916BA" w:rsidP="00A916BA">
      <w:pPr>
        <w:rPr>
          <w:rFonts w:ascii="Arial" w:eastAsia="Times New Roman" w:hAnsi="Arial" w:cs="Arial"/>
          <w:sz w:val="30"/>
          <w:szCs w:val="30"/>
        </w:rPr>
      </w:pPr>
      <w:r w:rsidRPr="00A916BA">
        <w:rPr>
          <w:rFonts w:ascii="Arial" w:eastAsia="Times New Roman" w:hAnsi="Arial" w:cs="Arial"/>
          <w:sz w:val="30"/>
          <w:szCs w:val="30"/>
        </w:rPr>
        <w:t xml:space="preserve">Week 5 – Risk </w:t>
      </w:r>
      <w:proofErr w:type="gramStart"/>
      <w:r w:rsidRPr="00A916BA">
        <w:rPr>
          <w:rFonts w:ascii="Arial" w:eastAsia="Times New Roman" w:hAnsi="Arial" w:cs="Arial"/>
          <w:sz w:val="30"/>
          <w:szCs w:val="30"/>
        </w:rPr>
        <w:t>And</w:t>
      </w:r>
      <w:proofErr w:type="gramEnd"/>
      <w:r w:rsidRPr="00A916BA">
        <w:rPr>
          <w:rFonts w:ascii="Arial" w:eastAsia="Times New Roman" w:hAnsi="Arial" w:cs="Arial"/>
          <w:sz w:val="30"/>
          <w:szCs w:val="30"/>
        </w:rPr>
        <w:t xml:space="preserve"> Return</w:t>
      </w:r>
    </w:p>
    <w:p w14:paraId="04B78C78" w14:textId="77777777" w:rsidR="00A916BA" w:rsidRPr="00A916BA" w:rsidRDefault="00A916BA" w:rsidP="00A916BA">
      <w:pPr>
        <w:rPr>
          <w:rFonts w:ascii="Arial" w:eastAsia="Times New Roman" w:hAnsi="Arial" w:cs="Arial"/>
          <w:sz w:val="27"/>
          <w:szCs w:val="27"/>
        </w:rPr>
      </w:pPr>
      <w:r w:rsidRPr="00A916BA">
        <w:rPr>
          <w:rFonts w:ascii="Arial" w:eastAsia="Times New Roman" w:hAnsi="Arial" w:cs="Arial"/>
          <w:sz w:val="27"/>
          <w:szCs w:val="27"/>
        </w:rPr>
        <w:t>https://courses.lumenlearning.com/boundless-finance/chapter/understanding-return/</w:t>
      </w:r>
    </w:p>
    <w:p w14:paraId="10949783" w14:textId="77777777" w:rsidR="00A916BA" w:rsidRPr="00A916BA" w:rsidRDefault="00A916BA" w:rsidP="00A916BA">
      <w:pPr>
        <w:rPr>
          <w:rFonts w:ascii="Arial" w:eastAsia="Times New Roman" w:hAnsi="Arial" w:cs="Arial"/>
          <w:sz w:val="30"/>
          <w:szCs w:val="30"/>
        </w:rPr>
      </w:pPr>
      <w:r w:rsidRPr="00A916BA">
        <w:rPr>
          <w:rFonts w:ascii="Arial" w:eastAsia="Times New Roman" w:hAnsi="Arial" w:cs="Arial"/>
          <w:sz w:val="30"/>
          <w:szCs w:val="30"/>
        </w:rPr>
        <w:t>http://www.zenwealth.com/businessfinanceonline/RR/RiskAndReturn.html</w:t>
      </w:r>
    </w:p>
    <w:p w14:paraId="2F852DBE" w14:textId="77777777" w:rsidR="00A916BA" w:rsidRPr="00A916BA" w:rsidRDefault="00A916BA" w:rsidP="00A916BA">
      <w:pPr>
        <w:rPr>
          <w:rFonts w:ascii="Arial" w:eastAsia="Times New Roman" w:hAnsi="Arial" w:cs="Arial"/>
          <w:sz w:val="30"/>
          <w:szCs w:val="30"/>
        </w:rPr>
      </w:pPr>
      <w:r w:rsidRPr="00A916BA">
        <w:rPr>
          <w:rFonts w:ascii="Arial" w:eastAsia="Times New Roman" w:hAnsi="Arial" w:cs="Arial"/>
          <w:sz w:val="30"/>
          <w:szCs w:val="30"/>
        </w:rPr>
        <w:t>Variance, Covariance, Coefficient of Variance, Correlation, Expected Return –</w:t>
      </w:r>
    </w:p>
    <w:p w14:paraId="2338B1DC" w14:textId="77777777" w:rsidR="00A916BA" w:rsidRPr="00A916BA" w:rsidRDefault="00A916BA" w:rsidP="00A916BA">
      <w:pPr>
        <w:rPr>
          <w:rFonts w:ascii="Arial" w:eastAsia="Times New Roman" w:hAnsi="Arial" w:cs="Arial"/>
          <w:sz w:val="30"/>
          <w:szCs w:val="30"/>
        </w:rPr>
      </w:pPr>
      <w:r w:rsidRPr="00A916BA">
        <w:rPr>
          <w:rFonts w:ascii="Arial" w:eastAsia="Times New Roman" w:hAnsi="Arial" w:cs="Arial"/>
          <w:sz w:val="30"/>
          <w:szCs w:val="30"/>
        </w:rPr>
        <w:t>http://www.investopedia.com/walkthrough/corporate-finance/4/return-risk/expected-return.aspx</w:t>
      </w:r>
    </w:p>
    <w:p w14:paraId="510C049C" w14:textId="77777777" w:rsidR="00A916BA" w:rsidRPr="00A916BA" w:rsidRDefault="00A916BA" w:rsidP="00A916BA">
      <w:pPr>
        <w:rPr>
          <w:rFonts w:ascii="Arial" w:eastAsia="Times New Roman" w:hAnsi="Arial" w:cs="Arial"/>
          <w:sz w:val="30"/>
          <w:szCs w:val="30"/>
        </w:rPr>
      </w:pPr>
      <w:r w:rsidRPr="00A916BA">
        <w:rPr>
          <w:rFonts w:ascii="Arial" w:eastAsia="Times New Roman" w:hAnsi="Arial" w:cs="Arial"/>
          <w:sz w:val="30"/>
          <w:szCs w:val="30"/>
        </w:rPr>
        <w:t>http://www.investopedia.com/articles/financial-theory/11/calculating-covariance.asp</w:t>
      </w:r>
    </w:p>
    <w:p w14:paraId="5519BDA5" w14:textId="77777777" w:rsidR="00A916BA" w:rsidRPr="00A916BA" w:rsidRDefault="00A916BA" w:rsidP="00A916BA">
      <w:pPr>
        <w:rPr>
          <w:rFonts w:ascii="Arial" w:eastAsia="Times New Roman" w:hAnsi="Arial" w:cs="Arial"/>
          <w:sz w:val="30"/>
          <w:szCs w:val="30"/>
        </w:rPr>
      </w:pPr>
      <w:r w:rsidRPr="00A916BA">
        <w:rPr>
          <w:rFonts w:ascii="Arial" w:eastAsia="Times New Roman" w:hAnsi="Arial" w:cs="Arial"/>
          <w:sz w:val="30"/>
          <w:szCs w:val="30"/>
        </w:rPr>
        <w:t>https://www.sapling.com/6526742/calculate-expected-rate-return</w:t>
      </w:r>
    </w:p>
    <w:p w14:paraId="578D4F23" w14:textId="77777777" w:rsidR="00A916BA" w:rsidRPr="00A916BA" w:rsidRDefault="00A916BA" w:rsidP="00A916BA">
      <w:pPr>
        <w:rPr>
          <w:rFonts w:ascii="Arial" w:eastAsia="Times New Roman" w:hAnsi="Arial" w:cs="Arial"/>
          <w:sz w:val="30"/>
          <w:szCs w:val="30"/>
        </w:rPr>
      </w:pPr>
      <w:r w:rsidRPr="00A916BA">
        <w:rPr>
          <w:rFonts w:ascii="Arial" w:eastAsia="Times New Roman" w:hAnsi="Arial" w:cs="Arial"/>
          <w:sz w:val="30"/>
          <w:szCs w:val="30"/>
        </w:rPr>
        <w:t>http://ci.columbia.edu/ci/premba_test/c0332/s6/s6_3.html</w:t>
      </w:r>
    </w:p>
    <w:p w14:paraId="6321D6A4" w14:textId="77777777" w:rsidR="00A916BA" w:rsidRPr="00A916BA" w:rsidRDefault="00A916BA" w:rsidP="00A916BA">
      <w:pPr>
        <w:rPr>
          <w:rFonts w:ascii="Arial" w:eastAsia="Times New Roman" w:hAnsi="Arial" w:cs="Arial"/>
          <w:sz w:val="30"/>
          <w:szCs w:val="30"/>
        </w:rPr>
      </w:pPr>
      <w:r w:rsidRPr="00A916BA">
        <w:rPr>
          <w:rFonts w:ascii="Arial" w:eastAsia="Times New Roman" w:hAnsi="Arial" w:cs="Arial"/>
          <w:sz w:val="30"/>
          <w:szCs w:val="30"/>
        </w:rPr>
        <w:t>Total Holding Period –</w:t>
      </w:r>
    </w:p>
    <w:p w14:paraId="2434451F" w14:textId="77777777" w:rsidR="00A916BA" w:rsidRPr="00A916BA" w:rsidRDefault="00A916BA" w:rsidP="00A916BA">
      <w:pPr>
        <w:rPr>
          <w:rFonts w:ascii="Arial" w:eastAsia="Times New Roman" w:hAnsi="Arial" w:cs="Arial"/>
          <w:sz w:val="30"/>
          <w:szCs w:val="30"/>
        </w:rPr>
      </w:pPr>
      <w:r w:rsidRPr="00A916BA">
        <w:rPr>
          <w:rFonts w:ascii="Arial" w:eastAsia="Times New Roman" w:hAnsi="Arial" w:cs="Arial"/>
          <w:sz w:val="30"/>
          <w:szCs w:val="30"/>
        </w:rPr>
        <w:t>http://financetrain.com/how-to-calculate-the-holding-period-return</w:t>
      </w:r>
    </w:p>
    <w:p w14:paraId="5010EC31" w14:textId="77777777" w:rsidR="00A916BA" w:rsidRDefault="00A916BA">
      <w:bookmarkStart w:id="0" w:name="_GoBack"/>
      <w:bookmarkEnd w:id="0"/>
    </w:p>
    <w:p w14:paraId="1E46DDC5" w14:textId="77777777" w:rsidR="00A916BA" w:rsidRDefault="00A916BA"/>
    <w:sectPr w:rsidR="00A916BA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BA"/>
    <w:rsid w:val="00580681"/>
    <w:rsid w:val="00727976"/>
    <w:rsid w:val="00A9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5E3649"/>
  <w15:chartTrackingRefBased/>
  <w15:docId w15:val="{A46BB2AE-2AE3-6B42-9EE5-4088800AE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16B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9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0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3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1</cp:revision>
  <dcterms:created xsi:type="dcterms:W3CDTF">2020-02-29T15:44:00Z</dcterms:created>
  <dcterms:modified xsi:type="dcterms:W3CDTF">2020-02-29T15:47:00Z</dcterms:modified>
</cp:coreProperties>
</file>